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58BCAE" w14:textId="77777777" w:rsidR="00EA4432" w:rsidRPr="004A5AFB" w:rsidRDefault="00EA4432" w:rsidP="00EA4432">
      <w:pPr>
        <w:widowControl w:val="0"/>
        <w:jc w:val="both"/>
        <w:rPr>
          <w:rFonts w:ascii="Times New Roman" w:hAnsi="Times New Roman" w:cs="Times New Roman"/>
        </w:rPr>
      </w:pPr>
    </w:p>
    <w:p w14:paraId="664B05CC" w14:textId="77777777" w:rsidR="00EA4432" w:rsidRPr="004A5AFB" w:rsidRDefault="00EA4432" w:rsidP="00EA4432">
      <w:pPr>
        <w:widowControl w:val="0"/>
        <w:jc w:val="both"/>
        <w:rPr>
          <w:rFonts w:ascii="Times New Roman" w:hAnsi="Times New Roman" w:cs="Times New Roman"/>
        </w:rPr>
      </w:pPr>
    </w:p>
    <w:p w14:paraId="672A51DA" w14:textId="77777777" w:rsidR="00EA4432" w:rsidRPr="004A5AFB" w:rsidRDefault="00EA4432" w:rsidP="00EA4432">
      <w:pPr>
        <w:widowControl w:val="0"/>
        <w:jc w:val="both"/>
        <w:rPr>
          <w:rFonts w:ascii="Times New Roman" w:hAnsi="Times New Roman" w:cs="Times New Roman"/>
        </w:rPr>
      </w:pPr>
      <w:r w:rsidRPr="004A5AFB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B554C" wp14:editId="4CA423FE">
                <wp:simplePos x="0" y="0"/>
                <wp:positionH relativeFrom="column">
                  <wp:posOffset>-252730</wp:posOffset>
                </wp:positionH>
                <wp:positionV relativeFrom="paragraph">
                  <wp:posOffset>-345831</wp:posOffset>
                </wp:positionV>
                <wp:extent cx="6705600" cy="583660"/>
                <wp:effectExtent l="0" t="0" r="12700" b="13335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0" cy="583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919D75" w14:textId="77777777" w:rsidR="00EA4432" w:rsidRDefault="00EA4432" w:rsidP="00EA443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GRIGLIA DI VALUTAZIONE DEL COLLOQUIO D’ESAME PER CANDIDATI CON DISTURBI SPECIFICI DELL’APPRENDIMENTO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CD9066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19.9pt;margin-top:-27.25pt;width:528pt;height:4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" fillcolor="white [3201]" strokeweight=".5pt">
                <v:textbox>
                  <w:txbxContent>
                    <w:p w:rsidR="00EA4432" w:rsidRDefault="00EA4432" w:rsidP="00EA443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GRIGLIA DI VALUTAZIONE DEL COLLOQUIO D’ESAME PER CANDIDATI CON DISTURBI SPECIFICI DELL’APPRENDIMENTO</w:t>
                      </w:r>
                    </w:p>
                  </w:txbxContent>
                </v:textbox>
              </v:shape>
            </w:pict>
          </mc:Fallback>
        </mc:AlternateContent>
      </w:r>
    </w:p>
    <w:p w14:paraId="5D9303DE" w14:textId="77777777" w:rsidR="00EA4432" w:rsidRPr="004A5AFB" w:rsidRDefault="00EA4432" w:rsidP="00EA4432">
      <w:pPr>
        <w:widowControl w:val="0"/>
        <w:jc w:val="both"/>
        <w:rPr>
          <w:rFonts w:ascii="Times New Roman" w:hAnsi="Times New Roman" w:cs="Times New Roman"/>
        </w:rPr>
      </w:pPr>
    </w:p>
    <w:p w14:paraId="6C083629" w14:textId="77777777" w:rsidR="00EA4432" w:rsidRPr="004A5AFB" w:rsidRDefault="00EA4432" w:rsidP="00EA4432">
      <w:pPr>
        <w:widowControl w:val="0"/>
        <w:jc w:val="both"/>
        <w:rPr>
          <w:rFonts w:ascii="Times New Roman" w:hAnsi="Times New Roman" w:cs="Times New Roman"/>
        </w:rPr>
      </w:pPr>
      <w:r w:rsidRPr="004A5AFB">
        <w:rPr>
          <w:rFonts w:ascii="Times New Roman" w:hAnsi="Times New Roman" w:cs="Times New Roman"/>
        </w:rPr>
        <w:t>La Commissione assegn</w:t>
      </w:r>
      <w:r w:rsidR="00866F62">
        <w:rPr>
          <w:rFonts w:ascii="Times New Roman" w:hAnsi="Times New Roman" w:cs="Times New Roman"/>
        </w:rPr>
        <w:t xml:space="preserve">a fino ad un massimo di </w:t>
      </w:r>
      <w:r w:rsidR="00866F62" w:rsidRPr="00866F62">
        <w:rPr>
          <w:rFonts w:ascii="Times New Roman" w:hAnsi="Times New Roman" w:cs="Times New Roman"/>
          <w:color w:val="FF0000"/>
        </w:rPr>
        <w:t>VENTI</w:t>
      </w:r>
      <w:r w:rsidRPr="004A5AFB">
        <w:rPr>
          <w:rFonts w:ascii="Times New Roman" w:hAnsi="Times New Roman" w:cs="Times New Roman"/>
        </w:rPr>
        <w:t xml:space="preserve"> punti, tenendo a riferimento indicatori, livelli, descrittori e punteggi di seguito indicati.</w:t>
      </w:r>
    </w:p>
    <w:p w14:paraId="1212ACEC" w14:textId="77777777" w:rsidR="00EA4432" w:rsidRPr="004A5AFB" w:rsidRDefault="00EA4432" w:rsidP="00EA4432">
      <w:pPr>
        <w:widowControl w:val="0"/>
        <w:jc w:val="both"/>
        <w:rPr>
          <w:rFonts w:ascii="Times New Roman" w:hAnsi="Times New Roman" w:cs="Times New Roman"/>
        </w:rPr>
      </w:pPr>
    </w:p>
    <w:tbl>
      <w:tblPr>
        <w:tblW w:w="5523" w:type="pct"/>
        <w:tblInd w:w="-432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2"/>
        <w:gridCol w:w="490"/>
        <w:gridCol w:w="6816"/>
        <w:gridCol w:w="666"/>
        <w:gridCol w:w="838"/>
      </w:tblGrid>
      <w:tr w:rsidR="00EA4432" w:rsidRPr="004A5AFB" w14:paraId="358540C3" w14:textId="77777777" w:rsidTr="00A816E2">
        <w:trPr>
          <w:trHeight w:hRule="exact" w:val="348"/>
        </w:trPr>
        <w:tc>
          <w:tcPr>
            <w:tcW w:w="859" w:type="pct"/>
          </w:tcPr>
          <w:p w14:paraId="71808E1B" w14:textId="77777777" w:rsidR="00EA4432" w:rsidRPr="004A5AFB" w:rsidRDefault="00EA4432" w:rsidP="00A816E2">
            <w:pPr>
              <w:spacing w:before="58" w:line="276" w:lineRule="exact"/>
              <w:ind w:left="475"/>
              <w:rPr>
                <w:sz w:val="20"/>
                <w:szCs w:val="20"/>
              </w:rPr>
            </w:pPr>
            <w:r w:rsidRPr="004A5AFB">
              <w:rPr>
                <w:rFonts w:ascii="Garamond Bold" w:hAnsi="Garamond Bold" w:cs="Garamond Bold"/>
                <w:color w:val="000000"/>
                <w:sz w:val="20"/>
                <w:szCs w:val="20"/>
              </w:rPr>
              <w:t>Indicatori</w:t>
            </w:r>
          </w:p>
        </w:tc>
        <w:tc>
          <w:tcPr>
            <w:tcW w:w="208" w:type="pct"/>
          </w:tcPr>
          <w:p w14:paraId="6BD8A0BC" w14:textId="77777777" w:rsidR="00EA4432" w:rsidRPr="004A5AFB" w:rsidRDefault="00EA4432" w:rsidP="00A816E2">
            <w:pPr>
              <w:spacing w:before="129" w:line="207" w:lineRule="exact"/>
              <w:rPr>
                <w:sz w:val="20"/>
                <w:szCs w:val="20"/>
              </w:rPr>
            </w:pPr>
            <w:r w:rsidRPr="004A5AFB">
              <w:rPr>
                <w:rFonts w:ascii="Garamond Bold" w:hAnsi="Garamond Bold" w:cs="Garamond Bold"/>
                <w:color w:val="000000"/>
                <w:sz w:val="20"/>
                <w:szCs w:val="20"/>
              </w:rPr>
              <w:t>Livelli</w:t>
            </w:r>
          </w:p>
        </w:tc>
        <w:tc>
          <w:tcPr>
            <w:tcW w:w="3214" w:type="pct"/>
          </w:tcPr>
          <w:p w14:paraId="709B411C" w14:textId="77777777" w:rsidR="00EA4432" w:rsidRPr="004A5AFB" w:rsidRDefault="00EA4432" w:rsidP="00A816E2">
            <w:pPr>
              <w:spacing w:before="58" w:line="276" w:lineRule="exact"/>
              <w:jc w:val="center"/>
              <w:rPr>
                <w:sz w:val="20"/>
                <w:szCs w:val="20"/>
              </w:rPr>
            </w:pPr>
            <w:r w:rsidRPr="004A5AFB">
              <w:rPr>
                <w:rFonts w:ascii="Garamond Bold" w:hAnsi="Garamond Bold" w:cs="Garamond Bold"/>
                <w:color w:val="000000"/>
                <w:sz w:val="20"/>
                <w:szCs w:val="20"/>
              </w:rPr>
              <w:t>Descrittori</w:t>
            </w:r>
          </w:p>
        </w:tc>
        <w:tc>
          <w:tcPr>
            <w:tcW w:w="719" w:type="pct"/>
            <w:gridSpan w:val="2"/>
          </w:tcPr>
          <w:p w14:paraId="0F1DAFE8" w14:textId="77777777" w:rsidR="00EA4432" w:rsidRPr="004A5AFB" w:rsidRDefault="00EA4432" w:rsidP="00A816E2">
            <w:pPr>
              <w:spacing w:before="129" w:line="207" w:lineRule="exact"/>
              <w:jc w:val="center"/>
              <w:rPr>
                <w:rFonts w:ascii="Garamond Bold" w:hAnsi="Garamond Bold" w:cs="Garamond Bold"/>
                <w:color w:val="000000"/>
                <w:sz w:val="20"/>
                <w:szCs w:val="20"/>
              </w:rPr>
            </w:pPr>
            <w:r w:rsidRPr="004A5AFB">
              <w:rPr>
                <w:rFonts w:ascii="Garamond Bold" w:hAnsi="Garamond Bold" w:cs="Garamond Bold"/>
                <w:color w:val="000000"/>
                <w:sz w:val="20"/>
                <w:szCs w:val="20"/>
              </w:rPr>
              <w:t>Punteggio</w:t>
            </w:r>
          </w:p>
          <w:p w14:paraId="00F21DF1" w14:textId="77777777" w:rsidR="00EA4432" w:rsidRPr="004A5AFB" w:rsidRDefault="00EA4432" w:rsidP="00A816E2">
            <w:pPr>
              <w:spacing w:before="129" w:line="207" w:lineRule="exact"/>
              <w:rPr>
                <w:rFonts w:ascii="Garamond Bold" w:hAnsi="Garamond Bold" w:cs="Garamond Bold"/>
                <w:color w:val="000000"/>
                <w:sz w:val="20"/>
                <w:szCs w:val="20"/>
              </w:rPr>
            </w:pPr>
          </w:p>
          <w:p w14:paraId="6373650A" w14:textId="77777777" w:rsidR="00EA4432" w:rsidRPr="004A5AFB" w:rsidRDefault="00EA4432" w:rsidP="00A816E2">
            <w:pPr>
              <w:spacing w:before="129" w:line="207" w:lineRule="exact"/>
              <w:rPr>
                <w:sz w:val="20"/>
                <w:szCs w:val="20"/>
              </w:rPr>
            </w:pPr>
            <w:r w:rsidRPr="004A5AFB">
              <w:rPr>
                <w:rFonts w:ascii="Garamond Bold" w:hAnsi="Garamond Bold" w:cs="Garamond Bold"/>
                <w:color w:val="000000"/>
                <w:sz w:val="20"/>
                <w:szCs w:val="20"/>
              </w:rPr>
              <w:t>Punti</w:t>
            </w:r>
          </w:p>
          <w:p w14:paraId="5CF81D34" w14:textId="77777777" w:rsidR="00EA4432" w:rsidRPr="004A5AFB" w:rsidRDefault="00EA4432" w:rsidP="00A816E2">
            <w:pPr>
              <w:spacing w:before="129" w:line="207" w:lineRule="exact"/>
              <w:ind w:left="115"/>
              <w:rPr>
                <w:sz w:val="20"/>
                <w:szCs w:val="20"/>
              </w:rPr>
            </w:pPr>
            <w:r w:rsidRPr="004A5AFB">
              <w:rPr>
                <w:rFonts w:ascii="Garamond Bold" w:hAnsi="Garamond Bold" w:cs="Garamond Bold"/>
                <w:color w:val="000000"/>
                <w:sz w:val="20"/>
                <w:szCs w:val="20"/>
              </w:rPr>
              <w:t>Punteggio</w:t>
            </w:r>
          </w:p>
        </w:tc>
      </w:tr>
      <w:tr w:rsidR="00EA4432" w:rsidRPr="00985D6F" w14:paraId="5032B0E0" w14:textId="77777777" w:rsidTr="00A816E2">
        <w:trPr>
          <w:trHeight w:hRule="exact" w:val="268"/>
        </w:trPr>
        <w:tc>
          <w:tcPr>
            <w:tcW w:w="859" w:type="pct"/>
            <w:vMerge w:val="restart"/>
          </w:tcPr>
          <w:p w14:paraId="54124FC1" w14:textId="77777777" w:rsidR="00EA4432" w:rsidRPr="004A5AFB" w:rsidRDefault="00EA4432" w:rsidP="00A816E2">
            <w:pPr>
              <w:spacing w:before="100" w:line="207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Acquisizione dei contenuti</w:t>
            </w:r>
          </w:p>
          <w:p w14:paraId="5D8A93ED" w14:textId="77777777" w:rsidR="00EA4432" w:rsidRPr="004A5AFB" w:rsidRDefault="00EA4432" w:rsidP="00A816E2">
            <w:pPr>
              <w:spacing w:before="24" w:line="207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e dei metodi delle diverse</w:t>
            </w:r>
          </w:p>
          <w:p w14:paraId="2859CBC2" w14:textId="77777777" w:rsidR="00EA4432" w:rsidRPr="004A5AFB" w:rsidRDefault="00EA4432" w:rsidP="00A816E2">
            <w:pPr>
              <w:spacing w:before="25" w:line="207" w:lineRule="exact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discipline del curricolo, con</w:t>
            </w:r>
          </w:p>
          <w:p w14:paraId="17EA9118" w14:textId="77777777" w:rsidR="00EA4432" w:rsidRPr="004A5AFB" w:rsidRDefault="00EA4432" w:rsidP="00A816E2">
            <w:pPr>
              <w:spacing w:before="26" w:line="207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particolare riferimento a</w:t>
            </w:r>
          </w:p>
          <w:p w14:paraId="1CCD015D" w14:textId="77777777" w:rsidR="00EA4432" w:rsidRPr="004A5AFB" w:rsidRDefault="00EA4432" w:rsidP="00A816E2">
            <w:pPr>
              <w:spacing w:before="24" w:line="207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quelle d’indirizzo</w:t>
            </w:r>
          </w:p>
        </w:tc>
        <w:tc>
          <w:tcPr>
            <w:tcW w:w="208" w:type="pct"/>
          </w:tcPr>
          <w:p w14:paraId="7FBA16BC" w14:textId="77777777" w:rsidR="00EA4432" w:rsidRPr="004A5AFB" w:rsidRDefault="00EA4432" w:rsidP="00A816E2">
            <w:pPr>
              <w:spacing w:before="45" w:line="207" w:lineRule="exact"/>
              <w:ind w:left="218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I</w:t>
            </w:r>
          </w:p>
        </w:tc>
        <w:tc>
          <w:tcPr>
            <w:tcW w:w="3214" w:type="pct"/>
          </w:tcPr>
          <w:p w14:paraId="21073537" w14:textId="77777777" w:rsidR="00EA4432" w:rsidRPr="004A5AFB" w:rsidRDefault="00EA4432" w:rsidP="00A816E2">
            <w:pPr>
              <w:spacing w:before="45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Non ha acquisito i contenuti e i metodi delle diverse discipline, o li ha acquisiti in modo estremamente frammentario e lacunoso.</w:t>
            </w:r>
          </w:p>
        </w:tc>
        <w:tc>
          <w:tcPr>
            <w:tcW w:w="319" w:type="pct"/>
          </w:tcPr>
          <w:p w14:paraId="2C914FD4" w14:textId="77777777" w:rsidR="00EA4432" w:rsidRPr="00985D6F" w:rsidRDefault="00866F62" w:rsidP="00A816E2">
            <w:pPr>
              <w:spacing w:before="45" w:line="207" w:lineRule="exact"/>
              <w:ind w:left="175"/>
              <w:rPr>
                <w:sz w:val="16"/>
                <w:szCs w:val="16"/>
              </w:rPr>
            </w:pPr>
            <w:r w:rsidRPr="00985D6F">
              <w:rPr>
                <w:rFonts w:ascii="Garamond" w:hAnsi="Garamond" w:cs="Garamond"/>
                <w:color w:val="000000"/>
                <w:sz w:val="16"/>
                <w:szCs w:val="16"/>
              </w:rPr>
              <w:t>0,5</w:t>
            </w:r>
            <w:r w:rsidR="00EA4432" w:rsidRPr="00985D6F">
              <w:rPr>
                <w:rFonts w:ascii="Garamond" w:hAnsi="Garamond" w:cs="Garamond"/>
                <w:color w:val="000000"/>
                <w:sz w:val="16"/>
                <w:szCs w:val="16"/>
              </w:rPr>
              <w:t>-</w:t>
            </w:r>
            <w:r w:rsidRPr="00985D6F">
              <w:rPr>
                <w:rFonts w:ascii="Garamond" w:hAnsi="Garamond" w:cs="Garamond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0" w:type="pct"/>
            <w:vMerge w:val="restart"/>
          </w:tcPr>
          <w:p w14:paraId="5DB0517B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7BDB18C0" w14:textId="77777777" w:rsidTr="00A816E2">
        <w:trPr>
          <w:trHeight w:hRule="exact" w:val="309"/>
        </w:trPr>
        <w:tc>
          <w:tcPr>
            <w:tcW w:w="859" w:type="pct"/>
            <w:vMerge/>
          </w:tcPr>
          <w:p w14:paraId="43B86F5F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15955BDE" w14:textId="77777777" w:rsidR="00EA4432" w:rsidRPr="004A5AFB" w:rsidRDefault="00EA4432" w:rsidP="00A816E2">
            <w:pPr>
              <w:spacing w:before="83" w:line="207" w:lineRule="exact"/>
              <w:ind w:left="187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II</w:t>
            </w:r>
          </w:p>
        </w:tc>
        <w:tc>
          <w:tcPr>
            <w:tcW w:w="3214" w:type="pct"/>
          </w:tcPr>
          <w:p w14:paraId="1DF20AA6" w14:textId="77777777" w:rsidR="00EA4432" w:rsidRPr="004A5AFB" w:rsidRDefault="00EA4432" w:rsidP="00A816E2">
            <w:pPr>
              <w:spacing w:before="83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Ha acquisito i contenuti e i metodi delle diverse discipline in modo parziale e incompleto, utilizzandoli in modo non sempre appropriato.</w:t>
            </w:r>
          </w:p>
        </w:tc>
        <w:tc>
          <w:tcPr>
            <w:tcW w:w="319" w:type="pct"/>
          </w:tcPr>
          <w:p w14:paraId="698F4237" w14:textId="77777777" w:rsidR="00EA4432" w:rsidRPr="00985D6F" w:rsidRDefault="00866F62" w:rsidP="00A816E2">
            <w:pPr>
              <w:spacing w:before="83" w:line="207" w:lineRule="exact"/>
              <w:ind w:left="175"/>
              <w:rPr>
                <w:sz w:val="16"/>
                <w:szCs w:val="16"/>
              </w:rPr>
            </w:pPr>
            <w:r w:rsidRPr="00985D6F">
              <w:rPr>
                <w:rFonts w:ascii="Garamond" w:hAnsi="Garamond" w:cs="Garamond"/>
                <w:color w:val="000000"/>
                <w:sz w:val="16"/>
                <w:szCs w:val="16"/>
              </w:rPr>
              <w:t>1,5</w:t>
            </w:r>
            <w:r w:rsidR="00EA4432" w:rsidRPr="00985D6F">
              <w:rPr>
                <w:rFonts w:ascii="Garamond" w:hAnsi="Garamond" w:cs="Garamond"/>
                <w:color w:val="000000"/>
                <w:sz w:val="16"/>
                <w:szCs w:val="16"/>
              </w:rPr>
              <w:t>-</w:t>
            </w:r>
            <w:r w:rsidRPr="00985D6F">
              <w:rPr>
                <w:rFonts w:ascii="Garamond" w:hAnsi="Garamond" w:cs="Garamond"/>
                <w:color w:val="000000"/>
                <w:sz w:val="16"/>
                <w:szCs w:val="16"/>
              </w:rPr>
              <w:t>2,</w:t>
            </w:r>
            <w:r w:rsidR="00985D6F" w:rsidRPr="00985D6F">
              <w:rPr>
                <w:rFonts w:ascii="Garamond" w:hAnsi="Garamond" w:cs="Garamond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0" w:type="pct"/>
            <w:vMerge/>
          </w:tcPr>
          <w:p w14:paraId="37EC35DC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6A830861" w14:textId="77777777" w:rsidTr="00A816E2">
        <w:trPr>
          <w:trHeight w:hRule="exact" w:val="273"/>
        </w:trPr>
        <w:tc>
          <w:tcPr>
            <w:tcW w:w="859" w:type="pct"/>
            <w:vMerge/>
          </w:tcPr>
          <w:p w14:paraId="1F518A2B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162E5663" w14:textId="77777777" w:rsidR="00EA4432" w:rsidRPr="004A5AFB" w:rsidRDefault="00EA4432" w:rsidP="00A816E2">
            <w:pPr>
              <w:spacing w:before="50" w:line="207" w:lineRule="exact"/>
              <w:ind w:left="153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3214" w:type="pct"/>
          </w:tcPr>
          <w:p w14:paraId="0AB4C160" w14:textId="77777777" w:rsidR="00EA4432" w:rsidRPr="004A5AFB" w:rsidRDefault="00EA4432" w:rsidP="00A816E2">
            <w:pPr>
              <w:spacing w:before="50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Ha acquisito i contenuti e utilizza i metodi delle diverse discipline in modo corretto e appropriato.</w:t>
            </w:r>
          </w:p>
        </w:tc>
        <w:tc>
          <w:tcPr>
            <w:tcW w:w="319" w:type="pct"/>
          </w:tcPr>
          <w:p w14:paraId="536B3632" w14:textId="77777777" w:rsidR="00EA4432" w:rsidRPr="00985D6F" w:rsidRDefault="00985D6F" w:rsidP="00A816E2">
            <w:pPr>
              <w:spacing w:before="50" w:line="207" w:lineRule="exact"/>
              <w:ind w:left="175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3 – 3,5</w:t>
            </w:r>
          </w:p>
        </w:tc>
        <w:tc>
          <w:tcPr>
            <w:tcW w:w="400" w:type="pct"/>
            <w:vMerge/>
          </w:tcPr>
          <w:p w14:paraId="530B1074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35DE1C58" w14:textId="77777777" w:rsidTr="00A816E2">
        <w:trPr>
          <w:trHeight w:hRule="exact" w:val="227"/>
        </w:trPr>
        <w:tc>
          <w:tcPr>
            <w:tcW w:w="859" w:type="pct"/>
            <w:vMerge/>
          </w:tcPr>
          <w:p w14:paraId="3FE57410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60A26932" w14:textId="77777777" w:rsidR="00EA4432" w:rsidRPr="004A5AFB" w:rsidRDefault="00EA4432" w:rsidP="00A816E2">
            <w:pPr>
              <w:spacing w:before="6" w:line="207" w:lineRule="exact"/>
              <w:ind w:left="158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IV</w:t>
            </w:r>
          </w:p>
        </w:tc>
        <w:tc>
          <w:tcPr>
            <w:tcW w:w="3214" w:type="pct"/>
          </w:tcPr>
          <w:p w14:paraId="51AA85C5" w14:textId="77777777" w:rsidR="00EA4432" w:rsidRPr="004A5AFB" w:rsidRDefault="00EA4432" w:rsidP="00A816E2">
            <w:pPr>
              <w:spacing w:before="6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Ha acquisito i contenuti delle diverse discipline in maniera completa e utilizza in modo consapevole i loro metodi.</w:t>
            </w:r>
          </w:p>
        </w:tc>
        <w:tc>
          <w:tcPr>
            <w:tcW w:w="319" w:type="pct"/>
          </w:tcPr>
          <w:p w14:paraId="15DAB1E8" w14:textId="77777777" w:rsidR="00EA4432" w:rsidRPr="00985D6F" w:rsidRDefault="00985D6F" w:rsidP="00A816E2">
            <w:pPr>
              <w:spacing w:before="6" w:line="207" w:lineRule="exact"/>
              <w:ind w:left="175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4—4,5</w:t>
            </w:r>
          </w:p>
        </w:tc>
        <w:tc>
          <w:tcPr>
            <w:tcW w:w="400" w:type="pct"/>
            <w:vMerge/>
          </w:tcPr>
          <w:p w14:paraId="01E7D4DF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65FE19F5" w14:textId="77777777" w:rsidTr="00A816E2">
        <w:trPr>
          <w:trHeight w:hRule="exact" w:val="1161"/>
        </w:trPr>
        <w:tc>
          <w:tcPr>
            <w:tcW w:w="859" w:type="pct"/>
            <w:vMerge/>
          </w:tcPr>
          <w:p w14:paraId="24F231B1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7A6915FC" w14:textId="77777777" w:rsidR="00EA4432" w:rsidRPr="004A5AFB" w:rsidRDefault="00EA4432" w:rsidP="00A816E2">
            <w:pPr>
              <w:spacing w:before="7" w:line="207" w:lineRule="exact"/>
              <w:ind w:left="190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V</w:t>
            </w:r>
          </w:p>
        </w:tc>
        <w:tc>
          <w:tcPr>
            <w:tcW w:w="3214" w:type="pct"/>
          </w:tcPr>
          <w:p w14:paraId="2C7D57B7" w14:textId="77777777" w:rsidR="00EA4432" w:rsidRPr="004A5AFB" w:rsidRDefault="00EA4432" w:rsidP="00A816E2">
            <w:pPr>
              <w:spacing w:before="7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Ha acquisito i contenuti delle diverse discipline in maniera completa e approfondita e utilizza con piena padronanza i loro metodi.</w:t>
            </w:r>
          </w:p>
        </w:tc>
        <w:tc>
          <w:tcPr>
            <w:tcW w:w="319" w:type="pct"/>
          </w:tcPr>
          <w:p w14:paraId="5F9AC1FF" w14:textId="77777777" w:rsidR="00EA4432" w:rsidRPr="00985D6F" w:rsidRDefault="00985D6F" w:rsidP="00A816E2">
            <w:pPr>
              <w:spacing w:before="7" w:line="207" w:lineRule="exact"/>
              <w:ind w:left="204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0" w:type="pct"/>
            <w:vMerge/>
          </w:tcPr>
          <w:p w14:paraId="4F114E85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7BE336E6" w14:textId="77777777" w:rsidTr="00A816E2">
        <w:trPr>
          <w:trHeight w:hRule="exact" w:val="291"/>
        </w:trPr>
        <w:tc>
          <w:tcPr>
            <w:tcW w:w="859" w:type="pct"/>
            <w:vMerge w:val="restart"/>
          </w:tcPr>
          <w:p w14:paraId="6036BD72" w14:textId="77777777" w:rsidR="00EA4432" w:rsidRPr="004A5AFB" w:rsidRDefault="00EA4432" w:rsidP="00A816E2">
            <w:pPr>
              <w:spacing w:before="37" w:line="207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Capacità di utilizzare le</w:t>
            </w:r>
          </w:p>
          <w:p w14:paraId="2F0E9868" w14:textId="77777777" w:rsidR="00EA4432" w:rsidRPr="004A5AFB" w:rsidRDefault="00EA4432" w:rsidP="00A816E2">
            <w:pPr>
              <w:spacing w:before="25" w:line="207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conoscenze acquisite e di</w:t>
            </w:r>
          </w:p>
          <w:p w14:paraId="5DF98706" w14:textId="77777777" w:rsidR="00EA4432" w:rsidRPr="004A5AFB" w:rsidRDefault="00EA4432" w:rsidP="00A816E2">
            <w:pPr>
              <w:spacing w:line="251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collegarle tra loro</w:t>
            </w:r>
          </w:p>
        </w:tc>
        <w:tc>
          <w:tcPr>
            <w:tcW w:w="208" w:type="pct"/>
          </w:tcPr>
          <w:p w14:paraId="48BDE8B1" w14:textId="77777777" w:rsidR="00EA4432" w:rsidRPr="004A5AFB" w:rsidRDefault="00EA4432" w:rsidP="00A816E2">
            <w:pPr>
              <w:spacing w:line="321" w:lineRule="exact"/>
              <w:ind w:left="221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3214" w:type="pct"/>
          </w:tcPr>
          <w:p w14:paraId="38949D47" w14:textId="77777777" w:rsidR="00EA4432" w:rsidRPr="004A5AFB" w:rsidRDefault="00EA4432" w:rsidP="00A816E2">
            <w:pPr>
              <w:spacing w:before="39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Non è in grado di utilizzare e collegare le conoscenze acquisite o lo fa in modo del tutto inadeguato</w:t>
            </w:r>
          </w:p>
        </w:tc>
        <w:tc>
          <w:tcPr>
            <w:tcW w:w="319" w:type="pct"/>
          </w:tcPr>
          <w:p w14:paraId="38627181" w14:textId="77777777" w:rsidR="00EA4432" w:rsidRPr="00985D6F" w:rsidRDefault="00985D6F" w:rsidP="00A816E2">
            <w:pPr>
              <w:spacing w:before="53" w:line="207" w:lineRule="exact"/>
              <w:ind w:left="175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0,5</w:t>
            </w:r>
            <w:r w:rsidR="00EA4432" w:rsidRPr="00985D6F">
              <w:rPr>
                <w:rFonts w:ascii="Garamond" w:hAnsi="Garamond" w:cs="Garamond"/>
                <w:color w:val="000000"/>
                <w:sz w:val="16"/>
                <w:szCs w:val="16"/>
              </w:rPr>
              <w:t>-</w:t>
            </w: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0" w:type="pct"/>
            <w:vMerge w:val="restart"/>
          </w:tcPr>
          <w:p w14:paraId="33A92AFF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28D8AC0F" w14:textId="77777777" w:rsidTr="00A816E2">
        <w:trPr>
          <w:trHeight w:hRule="exact" w:val="300"/>
        </w:trPr>
        <w:tc>
          <w:tcPr>
            <w:tcW w:w="859" w:type="pct"/>
            <w:vMerge/>
          </w:tcPr>
          <w:p w14:paraId="56BE1395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5502290C" w14:textId="77777777" w:rsidR="00EA4432" w:rsidRPr="004A5AFB" w:rsidRDefault="00EA4432" w:rsidP="00A816E2">
            <w:pPr>
              <w:spacing w:line="325" w:lineRule="exact"/>
              <w:ind w:left="194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  <w:vertAlign w:val="superscript"/>
              </w:rPr>
              <w:t>II</w:t>
            </w:r>
          </w:p>
        </w:tc>
        <w:tc>
          <w:tcPr>
            <w:tcW w:w="3214" w:type="pct"/>
          </w:tcPr>
          <w:p w14:paraId="4EED9D1B" w14:textId="77777777" w:rsidR="00EA4432" w:rsidRPr="004A5AFB" w:rsidRDefault="00EA4432" w:rsidP="00A816E2">
            <w:pPr>
              <w:spacing w:before="42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È in grado di utilizzare e collegare le conoscenze acquisite con difficoltà e in modo stentato</w:t>
            </w:r>
          </w:p>
        </w:tc>
        <w:tc>
          <w:tcPr>
            <w:tcW w:w="319" w:type="pct"/>
          </w:tcPr>
          <w:p w14:paraId="0CB0F64B" w14:textId="77777777" w:rsidR="00EA4432" w:rsidRPr="00985D6F" w:rsidRDefault="00985D6F" w:rsidP="00A816E2">
            <w:pPr>
              <w:spacing w:before="78" w:line="207" w:lineRule="exact"/>
              <w:ind w:left="175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1,5</w:t>
            </w:r>
            <w:r w:rsidR="00EA4432" w:rsidRPr="00985D6F">
              <w:rPr>
                <w:rFonts w:ascii="Garamond" w:hAnsi="Garamond" w:cs="Garamond"/>
                <w:color w:val="000000"/>
                <w:sz w:val="16"/>
                <w:szCs w:val="16"/>
              </w:rPr>
              <w:t>-</w:t>
            </w: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400" w:type="pct"/>
            <w:vMerge/>
          </w:tcPr>
          <w:p w14:paraId="7BE55AC8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41CCBD2F" w14:textId="77777777" w:rsidTr="00A816E2">
        <w:trPr>
          <w:trHeight w:hRule="exact" w:val="266"/>
        </w:trPr>
        <w:tc>
          <w:tcPr>
            <w:tcW w:w="859" w:type="pct"/>
            <w:vMerge/>
          </w:tcPr>
          <w:p w14:paraId="1B4D899A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08A49DBC" w14:textId="77777777" w:rsidR="00EA4432" w:rsidRPr="004A5AFB" w:rsidRDefault="00EA4432" w:rsidP="00A816E2">
            <w:pPr>
              <w:spacing w:line="306" w:lineRule="exact"/>
              <w:ind w:left="166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  <w:vertAlign w:val="superscript"/>
              </w:rPr>
              <w:t>III</w:t>
            </w:r>
          </w:p>
        </w:tc>
        <w:tc>
          <w:tcPr>
            <w:tcW w:w="3214" w:type="pct"/>
          </w:tcPr>
          <w:p w14:paraId="2E43DF09" w14:textId="77777777" w:rsidR="00EA4432" w:rsidRPr="004A5AFB" w:rsidRDefault="00EA4432" w:rsidP="00A816E2">
            <w:pPr>
              <w:spacing w:before="25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È in grado di utilizzare correttamente le conoscenze acquisite, istituendo adeguati collegamenti tra le discipline</w:t>
            </w:r>
          </w:p>
        </w:tc>
        <w:tc>
          <w:tcPr>
            <w:tcW w:w="319" w:type="pct"/>
          </w:tcPr>
          <w:p w14:paraId="7CD01669" w14:textId="77777777" w:rsidR="00EA4432" w:rsidRPr="00985D6F" w:rsidRDefault="005D710B" w:rsidP="00A816E2">
            <w:pPr>
              <w:spacing w:before="47" w:line="207" w:lineRule="exact"/>
              <w:ind w:left="175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3</w:t>
            </w:r>
            <w:r w:rsidR="00EA4432" w:rsidRPr="00985D6F">
              <w:rPr>
                <w:rFonts w:ascii="Garamond" w:hAnsi="Garamond" w:cs="Garamond"/>
                <w:color w:val="000000"/>
                <w:sz w:val="16"/>
                <w:szCs w:val="16"/>
              </w:rPr>
              <w:t>-</w:t>
            </w: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400" w:type="pct"/>
            <w:vMerge/>
          </w:tcPr>
          <w:p w14:paraId="55F8B88C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07F577B6" w14:textId="77777777" w:rsidTr="00A816E2">
        <w:trPr>
          <w:trHeight w:hRule="exact" w:val="244"/>
        </w:trPr>
        <w:tc>
          <w:tcPr>
            <w:tcW w:w="859" w:type="pct"/>
            <w:vMerge/>
          </w:tcPr>
          <w:p w14:paraId="6682843F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38184C5D" w14:textId="77777777" w:rsidR="00EA4432" w:rsidRPr="004A5AFB" w:rsidRDefault="00EA4432" w:rsidP="00A816E2">
            <w:pPr>
              <w:spacing w:line="293" w:lineRule="exact"/>
              <w:ind w:left="168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  <w:vertAlign w:val="superscript"/>
              </w:rPr>
              <w:t>IV</w:t>
            </w:r>
          </w:p>
        </w:tc>
        <w:tc>
          <w:tcPr>
            <w:tcW w:w="3214" w:type="pct"/>
          </w:tcPr>
          <w:p w14:paraId="17365FB5" w14:textId="77777777" w:rsidR="00EA4432" w:rsidRPr="004A5AFB" w:rsidRDefault="00EA4432" w:rsidP="00A816E2">
            <w:pPr>
              <w:spacing w:before="16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È in grado di utilizzare le conoscenze acquisite collegandole in una trattazione pluridisciplinare articolata</w:t>
            </w:r>
          </w:p>
        </w:tc>
        <w:tc>
          <w:tcPr>
            <w:tcW w:w="319" w:type="pct"/>
          </w:tcPr>
          <w:p w14:paraId="1C026704" w14:textId="77777777" w:rsidR="00EA4432" w:rsidRPr="00985D6F" w:rsidRDefault="005D710B" w:rsidP="00A816E2">
            <w:pPr>
              <w:spacing w:before="16" w:line="207" w:lineRule="exact"/>
              <w:ind w:left="175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4</w:t>
            </w:r>
            <w:r w:rsidR="00EA4432" w:rsidRPr="00985D6F">
              <w:rPr>
                <w:rFonts w:ascii="Garamond" w:hAnsi="Garamond" w:cs="Garamond"/>
                <w:color w:val="000000"/>
                <w:sz w:val="16"/>
                <w:szCs w:val="16"/>
              </w:rPr>
              <w:t>-</w:t>
            </w: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400" w:type="pct"/>
            <w:vMerge/>
          </w:tcPr>
          <w:p w14:paraId="2336CA23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7862EA2F" w14:textId="77777777" w:rsidTr="00A816E2">
        <w:trPr>
          <w:trHeight w:hRule="exact" w:val="228"/>
        </w:trPr>
        <w:tc>
          <w:tcPr>
            <w:tcW w:w="859" w:type="pct"/>
            <w:vMerge/>
          </w:tcPr>
          <w:p w14:paraId="6EFE302B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288AE486" w14:textId="77777777" w:rsidR="00EA4432" w:rsidRPr="004A5AFB" w:rsidRDefault="00EA4432" w:rsidP="00A816E2">
            <w:pPr>
              <w:spacing w:before="20" w:line="184" w:lineRule="exact"/>
              <w:ind w:left="197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w w:val="97"/>
                <w:sz w:val="20"/>
                <w:szCs w:val="20"/>
              </w:rPr>
              <w:t>V</w:t>
            </w:r>
          </w:p>
        </w:tc>
        <w:tc>
          <w:tcPr>
            <w:tcW w:w="3214" w:type="pct"/>
          </w:tcPr>
          <w:p w14:paraId="736DA8BE" w14:textId="77777777" w:rsidR="00EA4432" w:rsidRPr="004A5AFB" w:rsidRDefault="00EA4432" w:rsidP="00A816E2">
            <w:pPr>
              <w:spacing w:before="6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È in grado di utilizzare le conoscenze acquisite collegandole in una trattazione pluridisciplinare ampia e approfondita</w:t>
            </w:r>
          </w:p>
        </w:tc>
        <w:tc>
          <w:tcPr>
            <w:tcW w:w="319" w:type="pct"/>
          </w:tcPr>
          <w:p w14:paraId="50EF667A" w14:textId="77777777" w:rsidR="00EA4432" w:rsidRPr="00985D6F" w:rsidRDefault="005D710B" w:rsidP="00A816E2">
            <w:pPr>
              <w:spacing w:before="6" w:line="207" w:lineRule="exact"/>
              <w:ind w:left="204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0" w:type="pct"/>
            <w:vMerge/>
          </w:tcPr>
          <w:p w14:paraId="0B3B2E11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0F6AF50B" w14:textId="77777777" w:rsidTr="00A816E2">
        <w:trPr>
          <w:trHeight w:hRule="exact" w:val="254"/>
        </w:trPr>
        <w:tc>
          <w:tcPr>
            <w:tcW w:w="859" w:type="pct"/>
            <w:vMerge w:val="restart"/>
          </w:tcPr>
          <w:p w14:paraId="05BF0D21" w14:textId="77777777" w:rsidR="00EA4432" w:rsidRPr="004A5AFB" w:rsidRDefault="00EA4432" w:rsidP="00A816E2">
            <w:pPr>
              <w:spacing w:before="35" w:line="207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Capacità di argomentare in</w:t>
            </w:r>
          </w:p>
          <w:p w14:paraId="0D676ECD" w14:textId="77777777" w:rsidR="00EA4432" w:rsidRPr="004A5AFB" w:rsidRDefault="00EA4432" w:rsidP="00A816E2">
            <w:pPr>
              <w:spacing w:before="23" w:line="207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maniera critica e personale,</w:t>
            </w:r>
          </w:p>
          <w:p w14:paraId="541270B5" w14:textId="77777777" w:rsidR="00EA4432" w:rsidRPr="004A5AFB" w:rsidRDefault="00EA4432" w:rsidP="00A816E2">
            <w:pPr>
              <w:spacing w:before="26" w:line="207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rielaborando i contenuti</w:t>
            </w:r>
          </w:p>
          <w:p w14:paraId="627ABF78" w14:textId="77777777" w:rsidR="00EA4432" w:rsidRPr="004A5AFB" w:rsidRDefault="00EA4432" w:rsidP="00A816E2">
            <w:pPr>
              <w:spacing w:line="253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acquisiti</w:t>
            </w:r>
          </w:p>
        </w:tc>
        <w:tc>
          <w:tcPr>
            <w:tcW w:w="208" w:type="pct"/>
          </w:tcPr>
          <w:p w14:paraId="1A105821" w14:textId="77777777" w:rsidR="00EA4432" w:rsidRPr="004A5AFB" w:rsidRDefault="00EA4432" w:rsidP="00A816E2">
            <w:pPr>
              <w:spacing w:line="297" w:lineRule="exact"/>
              <w:ind w:left="221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3214" w:type="pct"/>
          </w:tcPr>
          <w:p w14:paraId="0011B54C" w14:textId="77777777" w:rsidR="00EA4432" w:rsidRPr="004A5AFB" w:rsidRDefault="00EA4432" w:rsidP="00A816E2">
            <w:pPr>
              <w:spacing w:before="21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Non è in grado di argomentare in maniera critica e personale, o argomenta in modo superficiale e disorganico</w:t>
            </w:r>
          </w:p>
        </w:tc>
        <w:tc>
          <w:tcPr>
            <w:tcW w:w="319" w:type="pct"/>
          </w:tcPr>
          <w:p w14:paraId="4264C6C7" w14:textId="77777777" w:rsidR="00EA4432" w:rsidRPr="00985D6F" w:rsidRDefault="005D710B" w:rsidP="00A816E2">
            <w:pPr>
              <w:spacing w:before="35" w:line="207" w:lineRule="exact"/>
              <w:ind w:left="175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0,5</w:t>
            </w:r>
            <w:r w:rsidR="00EA4432" w:rsidRPr="00985D6F">
              <w:rPr>
                <w:rFonts w:ascii="Garamond" w:hAnsi="Garamond" w:cs="Garamond"/>
                <w:color w:val="000000"/>
                <w:sz w:val="16"/>
                <w:szCs w:val="16"/>
              </w:rPr>
              <w:t>-</w:t>
            </w: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0" w:type="pct"/>
            <w:vMerge w:val="restart"/>
          </w:tcPr>
          <w:p w14:paraId="2F2A938B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02A2E4F8" w14:textId="77777777" w:rsidTr="00A816E2">
        <w:trPr>
          <w:trHeight w:hRule="exact" w:val="300"/>
        </w:trPr>
        <w:tc>
          <w:tcPr>
            <w:tcW w:w="859" w:type="pct"/>
            <w:vMerge/>
          </w:tcPr>
          <w:p w14:paraId="15476DA8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70468485" w14:textId="77777777" w:rsidR="00EA4432" w:rsidRPr="004A5AFB" w:rsidRDefault="00EA4432" w:rsidP="00A816E2">
            <w:pPr>
              <w:spacing w:line="326" w:lineRule="exact"/>
              <w:ind w:left="194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  <w:vertAlign w:val="superscript"/>
              </w:rPr>
              <w:t>II</w:t>
            </w:r>
          </w:p>
        </w:tc>
        <w:tc>
          <w:tcPr>
            <w:tcW w:w="3214" w:type="pct"/>
          </w:tcPr>
          <w:p w14:paraId="5C56CEE3" w14:textId="77777777" w:rsidR="00EA4432" w:rsidRPr="004A5AFB" w:rsidRDefault="00EA4432" w:rsidP="00A816E2">
            <w:pPr>
              <w:spacing w:before="17" w:line="253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È in grado di formulare argomentazioni critiche e personali solo a tratti e solo in relazione a specifici argomenti</w:t>
            </w:r>
          </w:p>
        </w:tc>
        <w:tc>
          <w:tcPr>
            <w:tcW w:w="319" w:type="pct"/>
          </w:tcPr>
          <w:p w14:paraId="094BBBF3" w14:textId="77777777" w:rsidR="00EA4432" w:rsidRPr="00985D6F" w:rsidRDefault="005D710B" w:rsidP="00A816E2">
            <w:pPr>
              <w:spacing w:before="79" w:line="207" w:lineRule="exact"/>
              <w:ind w:left="175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1,5</w:t>
            </w:r>
            <w:r w:rsidR="00EA4432" w:rsidRPr="00985D6F">
              <w:rPr>
                <w:rFonts w:ascii="Garamond" w:hAnsi="Garamond" w:cs="Garamond"/>
                <w:color w:val="000000"/>
                <w:sz w:val="16"/>
                <w:szCs w:val="16"/>
              </w:rPr>
              <w:t>-</w:t>
            </w: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400" w:type="pct"/>
            <w:vMerge/>
          </w:tcPr>
          <w:p w14:paraId="397618D1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716EB72E" w14:textId="77777777" w:rsidTr="00A816E2">
        <w:trPr>
          <w:trHeight w:hRule="exact" w:val="266"/>
        </w:trPr>
        <w:tc>
          <w:tcPr>
            <w:tcW w:w="859" w:type="pct"/>
            <w:vMerge/>
          </w:tcPr>
          <w:p w14:paraId="3E36A5CE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5183B404" w14:textId="77777777" w:rsidR="00EA4432" w:rsidRPr="004A5AFB" w:rsidRDefault="00EA4432" w:rsidP="00A816E2">
            <w:pPr>
              <w:spacing w:line="306" w:lineRule="exact"/>
              <w:ind w:left="166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  <w:vertAlign w:val="superscript"/>
              </w:rPr>
              <w:t>III</w:t>
            </w:r>
          </w:p>
        </w:tc>
        <w:tc>
          <w:tcPr>
            <w:tcW w:w="3214" w:type="pct"/>
          </w:tcPr>
          <w:p w14:paraId="449DE8AD" w14:textId="77777777" w:rsidR="00EA4432" w:rsidRPr="004A5AFB" w:rsidRDefault="00EA4432" w:rsidP="00A816E2">
            <w:pPr>
              <w:spacing w:before="26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È in grado di formulare semplici argomentazioni critiche e personali, con una corretta rielaborazione dei contenuti acquisiti</w:t>
            </w:r>
          </w:p>
        </w:tc>
        <w:tc>
          <w:tcPr>
            <w:tcW w:w="319" w:type="pct"/>
          </w:tcPr>
          <w:p w14:paraId="78F40BE9" w14:textId="77777777" w:rsidR="00EA4432" w:rsidRPr="00985D6F" w:rsidRDefault="005D710B" w:rsidP="00A816E2">
            <w:pPr>
              <w:spacing w:before="48" w:line="207" w:lineRule="exact"/>
              <w:ind w:left="175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3</w:t>
            </w:r>
            <w:r w:rsidR="00EA4432" w:rsidRPr="00985D6F">
              <w:rPr>
                <w:rFonts w:ascii="Garamond" w:hAnsi="Garamond" w:cs="Garamond"/>
                <w:color w:val="000000"/>
                <w:sz w:val="16"/>
                <w:szCs w:val="16"/>
              </w:rPr>
              <w:t>-</w:t>
            </w: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400" w:type="pct"/>
            <w:vMerge/>
          </w:tcPr>
          <w:p w14:paraId="4579EC65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4CC40ABF" w14:textId="77777777" w:rsidTr="00A816E2">
        <w:trPr>
          <w:trHeight w:hRule="exact" w:val="225"/>
        </w:trPr>
        <w:tc>
          <w:tcPr>
            <w:tcW w:w="859" w:type="pct"/>
            <w:vMerge/>
          </w:tcPr>
          <w:p w14:paraId="3F764D68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388465A0" w14:textId="77777777" w:rsidR="00EA4432" w:rsidRPr="004A5AFB" w:rsidRDefault="00EA4432" w:rsidP="00A816E2">
            <w:pPr>
              <w:spacing w:line="281" w:lineRule="exact"/>
              <w:ind w:left="168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  <w:vertAlign w:val="superscript"/>
              </w:rPr>
              <w:t>IV</w:t>
            </w:r>
          </w:p>
        </w:tc>
        <w:tc>
          <w:tcPr>
            <w:tcW w:w="3214" w:type="pct"/>
          </w:tcPr>
          <w:p w14:paraId="4A3B729B" w14:textId="77777777" w:rsidR="00EA4432" w:rsidRPr="004A5AFB" w:rsidRDefault="00EA4432" w:rsidP="00A816E2">
            <w:pPr>
              <w:spacing w:before="6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È in grado di formulare articolate argomentazioni critiche e personali, rielaborando efficacemente i contenuti acquisiti</w:t>
            </w:r>
          </w:p>
        </w:tc>
        <w:tc>
          <w:tcPr>
            <w:tcW w:w="319" w:type="pct"/>
          </w:tcPr>
          <w:p w14:paraId="65A88916" w14:textId="77777777" w:rsidR="00EA4432" w:rsidRPr="00985D6F" w:rsidRDefault="005D710B" w:rsidP="00A816E2">
            <w:pPr>
              <w:spacing w:before="6" w:line="207" w:lineRule="exact"/>
              <w:ind w:left="175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4</w:t>
            </w:r>
            <w:r w:rsidR="00EA4432" w:rsidRPr="00985D6F">
              <w:rPr>
                <w:rFonts w:ascii="Garamond" w:hAnsi="Garamond" w:cs="Garamond"/>
                <w:color w:val="000000"/>
                <w:sz w:val="16"/>
                <w:szCs w:val="16"/>
              </w:rPr>
              <w:t>-</w:t>
            </w: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400" w:type="pct"/>
            <w:vMerge/>
          </w:tcPr>
          <w:p w14:paraId="0D9FF699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61A338CE" w14:textId="77777777" w:rsidTr="00A816E2">
        <w:trPr>
          <w:trHeight w:hRule="exact" w:val="745"/>
        </w:trPr>
        <w:tc>
          <w:tcPr>
            <w:tcW w:w="859" w:type="pct"/>
            <w:vMerge/>
          </w:tcPr>
          <w:p w14:paraId="17DD1FF3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191F6999" w14:textId="77777777" w:rsidR="00EA4432" w:rsidRPr="004A5AFB" w:rsidRDefault="00EA4432" w:rsidP="00A816E2">
            <w:pPr>
              <w:spacing w:before="21" w:line="184" w:lineRule="exact"/>
              <w:ind w:left="197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w w:val="97"/>
                <w:sz w:val="20"/>
                <w:szCs w:val="20"/>
              </w:rPr>
              <w:t>V</w:t>
            </w:r>
          </w:p>
        </w:tc>
        <w:tc>
          <w:tcPr>
            <w:tcW w:w="3214" w:type="pct"/>
          </w:tcPr>
          <w:p w14:paraId="6522CE86" w14:textId="77777777" w:rsidR="00EA4432" w:rsidRPr="004A5AFB" w:rsidRDefault="00EA4432" w:rsidP="00A816E2">
            <w:pPr>
              <w:spacing w:line="231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È in grado  di formulare ampie e articolate argomentazioni critiche e personali , rielaborando con originalità i contenuti acquisiti</w:t>
            </w:r>
          </w:p>
        </w:tc>
        <w:tc>
          <w:tcPr>
            <w:tcW w:w="319" w:type="pct"/>
          </w:tcPr>
          <w:p w14:paraId="0359D083" w14:textId="77777777" w:rsidR="00EA4432" w:rsidRPr="00985D6F" w:rsidRDefault="005D710B" w:rsidP="00A816E2">
            <w:pPr>
              <w:spacing w:before="7" w:line="207" w:lineRule="exact"/>
              <w:ind w:left="204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0" w:type="pct"/>
            <w:vMerge/>
          </w:tcPr>
          <w:p w14:paraId="27A0DF4C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6AFD99AB" w14:textId="77777777" w:rsidTr="00A816E2">
        <w:trPr>
          <w:trHeight w:hRule="exact" w:val="225"/>
        </w:trPr>
        <w:tc>
          <w:tcPr>
            <w:tcW w:w="859" w:type="pct"/>
            <w:vMerge w:val="restart"/>
          </w:tcPr>
          <w:p w14:paraId="4DC71AA4" w14:textId="77777777" w:rsidR="00EA4432" w:rsidRPr="004A5AFB" w:rsidRDefault="00EA4432" w:rsidP="00A816E2">
            <w:pPr>
              <w:spacing w:before="35" w:line="207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Ricchezza e padronanza</w:t>
            </w:r>
          </w:p>
          <w:p w14:paraId="6A55DD51" w14:textId="77777777" w:rsidR="00EA4432" w:rsidRPr="004A5AFB" w:rsidRDefault="00EA4432" w:rsidP="00A816E2">
            <w:pPr>
              <w:spacing w:before="23" w:line="207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lessicale e semantica, con</w:t>
            </w:r>
          </w:p>
          <w:p w14:paraId="7B186129" w14:textId="77777777" w:rsidR="00EA4432" w:rsidRPr="004A5AFB" w:rsidRDefault="00EA4432" w:rsidP="00A816E2">
            <w:pPr>
              <w:spacing w:before="26" w:line="207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specifico riferimento al</w:t>
            </w:r>
          </w:p>
          <w:p w14:paraId="715461F2" w14:textId="77777777" w:rsidR="00EA4432" w:rsidRPr="004A5AFB" w:rsidRDefault="00EA4432" w:rsidP="00A816E2">
            <w:pPr>
              <w:spacing w:before="26" w:line="207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linguaggio tecnico e/o di</w:t>
            </w:r>
          </w:p>
          <w:p w14:paraId="4D3E6B16" w14:textId="77777777" w:rsidR="00EA4432" w:rsidRPr="004A5AFB" w:rsidRDefault="00EA4432" w:rsidP="00A816E2">
            <w:pPr>
              <w:spacing w:before="23" w:line="207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settore, anche in lingua</w:t>
            </w:r>
          </w:p>
          <w:p w14:paraId="6E9F13AA" w14:textId="77777777" w:rsidR="00EA4432" w:rsidRPr="004A5AFB" w:rsidRDefault="00EA4432" w:rsidP="00A816E2">
            <w:pPr>
              <w:spacing w:line="253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straniera</w:t>
            </w:r>
          </w:p>
        </w:tc>
        <w:tc>
          <w:tcPr>
            <w:tcW w:w="208" w:type="pct"/>
          </w:tcPr>
          <w:p w14:paraId="67C25771" w14:textId="77777777" w:rsidR="00EA4432" w:rsidRPr="004A5AFB" w:rsidRDefault="00EA4432" w:rsidP="00A816E2">
            <w:pPr>
              <w:spacing w:line="279" w:lineRule="exact"/>
              <w:ind w:left="221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3214" w:type="pct"/>
          </w:tcPr>
          <w:p w14:paraId="25A17F77" w14:textId="77777777" w:rsidR="00EA4432" w:rsidRPr="004A5AFB" w:rsidRDefault="00EA4432" w:rsidP="00A816E2">
            <w:pPr>
              <w:spacing w:before="6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sz w:val="20"/>
                <w:szCs w:val="20"/>
              </w:rPr>
              <w:t>Si esprime in modo scorretto o stentato, impedendo la capacità di farsi comprendere in modo chiaro</w:t>
            </w:r>
          </w:p>
        </w:tc>
        <w:tc>
          <w:tcPr>
            <w:tcW w:w="319" w:type="pct"/>
          </w:tcPr>
          <w:p w14:paraId="3FA3C3E9" w14:textId="77777777" w:rsidR="00EA4432" w:rsidRPr="00985D6F" w:rsidRDefault="005D710B" w:rsidP="00A816E2">
            <w:pPr>
              <w:spacing w:before="6" w:line="207" w:lineRule="exact"/>
              <w:ind w:left="245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00" w:type="pct"/>
            <w:vMerge w:val="restart"/>
          </w:tcPr>
          <w:p w14:paraId="089F86A8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6DA12131" w14:textId="77777777" w:rsidTr="00A816E2">
        <w:trPr>
          <w:trHeight w:hRule="exact" w:val="316"/>
        </w:trPr>
        <w:tc>
          <w:tcPr>
            <w:tcW w:w="859" w:type="pct"/>
            <w:vMerge/>
          </w:tcPr>
          <w:p w14:paraId="1DFD2FA2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15190CBB" w14:textId="77777777" w:rsidR="00EA4432" w:rsidRPr="004A5AFB" w:rsidRDefault="00EA4432" w:rsidP="00A816E2">
            <w:pPr>
              <w:spacing w:line="337" w:lineRule="exact"/>
              <w:ind w:left="194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  <w:vertAlign w:val="superscript"/>
              </w:rPr>
              <w:t>II</w:t>
            </w:r>
          </w:p>
        </w:tc>
        <w:tc>
          <w:tcPr>
            <w:tcW w:w="3214" w:type="pct"/>
          </w:tcPr>
          <w:p w14:paraId="7D0A2238" w14:textId="77777777" w:rsidR="00EA4432" w:rsidRPr="004A5AFB" w:rsidRDefault="00EA4432" w:rsidP="00A816E2">
            <w:pPr>
              <w:spacing w:before="52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sz w:val="20"/>
                <w:szCs w:val="20"/>
              </w:rPr>
              <w:t>Si esprime in modo non sempre corretto, riducendo la capacità di farsi comprendere in modo chiaro</w:t>
            </w:r>
          </w:p>
        </w:tc>
        <w:tc>
          <w:tcPr>
            <w:tcW w:w="319" w:type="pct"/>
          </w:tcPr>
          <w:p w14:paraId="08CFB8B5" w14:textId="77777777" w:rsidR="00EA4432" w:rsidRPr="00985D6F" w:rsidRDefault="005D710B" w:rsidP="00A816E2">
            <w:pPr>
              <w:spacing w:before="52" w:line="207" w:lineRule="exact"/>
              <w:ind w:left="245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0" w:type="pct"/>
            <w:vMerge/>
          </w:tcPr>
          <w:p w14:paraId="23ED9CB2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1022D2CC" w14:textId="77777777" w:rsidTr="00A816E2">
        <w:trPr>
          <w:trHeight w:hRule="exact" w:val="278"/>
        </w:trPr>
        <w:tc>
          <w:tcPr>
            <w:tcW w:w="859" w:type="pct"/>
            <w:vMerge/>
          </w:tcPr>
          <w:p w14:paraId="59834E68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1D63E47E" w14:textId="77777777" w:rsidR="00EA4432" w:rsidRPr="004A5AFB" w:rsidRDefault="00EA4432" w:rsidP="00A816E2">
            <w:pPr>
              <w:spacing w:line="314" w:lineRule="exact"/>
              <w:ind w:left="166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  <w:vertAlign w:val="superscript"/>
              </w:rPr>
              <w:t>III</w:t>
            </w:r>
          </w:p>
        </w:tc>
        <w:tc>
          <w:tcPr>
            <w:tcW w:w="3214" w:type="pct"/>
          </w:tcPr>
          <w:p w14:paraId="1C418127" w14:textId="77777777" w:rsidR="00EA4432" w:rsidRPr="004A5AFB" w:rsidRDefault="00EA4432" w:rsidP="00A816E2">
            <w:pPr>
              <w:spacing w:before="33" w:line="207" w:lineRule="exact"/>
              <w:ind w:left="29"/>
              <w:rPr>
                <w:rFonts w:ascii="Garamond" w:hAnsi="Garamond" w:cs="Garamond"/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sz w:val="20"/>
                <w:szCs w:val="20"/>
              </w:rPr>
              <w:t>Si esprime in modo corretto utilizzando, nel complesso, la capacità di farsi comprendere in modo chiaro, anche se non del tutto corretto grammaticalmente</w:t>
            </w:r>
          </w:p>
          <w:p w14:paraId="180484AB" w14:textId="77777777" w:rsidR="00EA4432" w:rsidRPr="004A5AFB" w:rsidRDefault="00EA4432" w:rsidP="00A816E2">
            <w:pPr>
              <w:spacing w:before="33" w:line="207" w:lineRule="exact"/>
              <w:ind w:left="29"/>
              <w:rPr>
                <w:rFonts w:ascii="Garamond" w:hAnsi="Garamond" w:cs="Garamond"/>
                <w:sz w:val="20"/>
                <w:szCs w:val="20"/>
              </w:rPr>
            </w:pPr>
          </w:p>
          <w:p w14:paraId="00626340" w14:textId="77777777" w:rsidR="00EA4432" w:rsidRPr="004A5AFB" w:rsidRDefault="00EA4432" w:rsidP="00A816E2">
            <w:pPr>
              <w:spacing w:before="33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sz w:val="20"/>
                <w:szCs w:val="20"/>
              </w:rPr>
              <w:t xml:space="preserve"> grammaticalmen grammaticalmen grammaticalmente, anche in riferimento al linguaggio tecnico e/o di settore</w:t>
            </w:r>
          </w:p>
        </w:tc>
        <w:tc>
          <w:tcPr>
            <w:tcW w:w="319" w:type="pct"/>
          </w:tcPr>
          <w:p w14:paraId="59863A88" w14:textId="77777777" w:rsidR="00EA4432" w:rsidRPr="00985D6F" w:rsidRDefault="005D710B" w:rsidP="00A816E2">
            <w:pPr>
              <w:spacing w:before="33" w:line="207" w:lineRule="exact"/>
              <w:ind w:left="245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400" w:type="pct"/>
            <w:vMerge/>
          </w:tcPr>
          <w:p w14:paraId="0D805AAA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6BDFCF3E" w14:textId="77777777" w:rsidTr="00A816E2">
        <w:trPr>
          <w:trHeight w:hRule="exact" w:val="225"/>
        </w:trPr>
        <w:tc>
          <w:tcPr>
            <w:tcW w:w="859" w:type="pct"/>
            <w:vMerge/>
          </w:tcPr>
          <w:p w14:paraId="22FDA7F0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78207521" w14:textId="77777777" w:rsidR="00EA4432" w:rsidRPr="004A5AFB" w:rsidRDefault="00EA4432" w:rsidP="00A816E2">
            <w:pPr>
              <w:spacing w:line="283" w:lineRule="exact"/>
              <w:ind w:left="168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  <w:vertAlign w:val="superscript"/>
              </w:rPr>
              <w:t>IV</w:t>
            </w:r>
          </w:p>
        </w:tc>
        <w:tc>
          <w:tcPr>
            <w:tcW w:w="3214" w:type="pct"/>
          </w:tcPr>
          <w:p w14:paraId="103A761E" w14:textId="77777777" w:rsidR="00EA4432" w:rsidRPr="004A5AFB" w:rsidRDefault="00EA4432" w:rsidP="00A816E2">
            <w:pPr>
              <w:spacing w:before="7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Si esprime in modo preciso e accurato utilizzando un lessico, anche tecnico e settoriale, vario e articolato </w:t>
            </w:r>
          </w:p>
        </w:tc>
        <w:tc>
          <w:tcPr>
            <w:tcW w:w="319" w:type="pct"/>
          </w:tcPr>
          <w:p w14:paraId="2DD20B95" w14:textId="77777777" w:rsidR="00EA4432" w:rsidRPr="00985D6F" w:rsidRDefault="005D710B" w:rsidP="00A816E2">
            <w:pPr>
              <w:spacing w:before="7" w:line="207" w:lineRule="exact"/>
              <w:ind w:left="245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0" w:type="pct"/>
            <w:vMerge/>
          </w:tcPr>
          <w:p w14:paraId="6E130CD2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0625B805" w14:textId="77777777" w:rsidTr="00A816E2">
        <w:trPr>
          <w:trHeight w:hRule="exact" w:val="1649"/>
        </w:trPr>
        <w:tc>
          <w:tcPr>
            <w:tcW w:w="859" w:type="pct"/>
            <w:vMerge/>
          </w:tcPr>
          <w:p w14:paraId="041E8094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21375568" w14:textId="77777777" w:rsidR="00EA4432" w:rsidRPr="004A5AFB" w:rsidRDefault="00EA4432" w:rsidP="00A816E2">
            <w:pPr>
              <w:spacing w:before="93" w:line="184" w:lineRule="exact"/>
              <w:ind w:left="197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w w:val="97"/>
                <w:sz w:val="20"/>
                <w:szCs w:val="20"/>
              </w:rPr>
              <w:t>V</w:t>
            </w:r>
          </w:p>
        </w:tc>
        <w:tc>
          <w:tcPr>
            <w:tcW w:w="3214" w:type="pct"/>
          </w:tcPr>
          <w:p w14:paraId="62D42DA1" w14:textId="77777777" w:rsidR="00EA4432" w:rsidRPr="004A5AFB" w:rsidRDefault="00EA4432" w:rsidP="00A816E2">
            <w:pPr>
              <w:spacing w:before="79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Si esprime con ricchezza e piena padronanza lessicale e semantica, anche in riferimento al linguaggio tecnico e/o di settore</w:t>
            </w:r>
          </w:p>
        </w:tc>
        <w:tc>
          <w:tcPr>
            <w:tcW w:w="319" w:type="pct"/>
          </w:tcPr>
          <w:p w14:paraId="00E751D5" w14:textId="77777777" w:rsidR="00EA4432" w:rsidRPr="00985D6F" w:rsidRDefault="005D710B" w:rsidP="00A816E2">
            <w:pPr>
              <w:spacing w:before="79" w:line="207" w:lineRule="exact"/>
              <w:ind w:left="245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400" w:type="pct"/>
            <w:vMerge/>
          </w:tcPr>
          <w:p w14:paraId="453B11C6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74B85F44" w14:textId="77777777" w:rsidTr="00A816E2">
        <w:trPr>
          <w:trHeight w:hRule="exact" w:val="225"/>
        </w:trPr>
        <w:tc>
          <w:tcPr>
            <w:tcW w:w="859" w:type="pct"/>
            <w:vMerge w:val="restart"/>
          </w:tcPr>
          <w:p w14:paraId="701143A6" w14:textId="77777777" w:rsidR="00EA4432" w:rsidRPr="004A5AFB" w:rsidRDefault="00EA4432" w:rsidP="00A816E2">
            <w:pPr>
              <w:spacing w:before="35" w:line="207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Capacità di analisi e</w:t>
            </w:r>
          </w:p>
          <w:p w14:paraId="615D1B1C" w14:textId="77777777" w:rsidR="00EA4432" w:rsidRPr="004A5AFB" w:rsidRDefault="00EA4432" w:rsidP="00A816E2">
            <w:pPr>
              <w:spacing w:before="23" w:line="207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comprensione della realtà</w:t>
            </w:r>
          </w:p>
          <w:p w14:paraId="4BE5D8EA" w14:textId="77777777" w:rsidR="00EA4432" w:rsidRPr="004A5AFB" w:rsidRDefault="00EA4432" w:rsidP="00A816E2">
            <w:pPr>
              <w:spacing w:before="26" w:line="207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in chiave di cittadinanza</w:t>
            </w:r>
          </w:p>
          <w:p w14:paraId="4BBF5762" w14:textId="77777777" w:rsidR="00EA4432" w:rsidRPr="004A5AFB" w:rsidRDefault="00EA4432" w:rsidP="00A816E2">
            <w:pPr>
              <w:spacing w:before="26" w:line="207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attiva a partire dalla</w:t>
            </w:r>
          </w:p>
          <w:p w14:paraId="0688244B" w14:textId="77777777" w:rsidR="00EA4432" w:rsidRPr="004A5AFB" w:rsidRDefault="00EA4432" w:rsidP="00A816E2">
            <w:pPr>
              <w:spacing w:before="24" w:line="207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riflessione sulle esperienze</w:t>
            </w:r>
          </w:p>
          <w:p w14:paraId="2FE514FC" w14:textId="77777777" w:rsidR="00EA4432" w:rsidRPr="004A5AFB" w:rsidRDefault="00EA4432" w:rsidP="00A816E2">
            <w:pPr>
              <w:spacing w:line="253" w:lineRule="exact"/>
              <w:ind w:left="1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personali</w:t>
            </w:r>
          </w:p>
        </w:tc>
        <w:tc>
          <w:tcPr>
            <w:tcW w:w="208" w:type="pct"/>
          </w:tcPr>
          <w:p w14:paraId="0262C2D2" w14:textId="77777777" w:rsidR="00EA4432" w:rsidRPr="004A5AFB" w:rsidRDefault="00EA4432" w:rsidP="00A816E2">
            <w:pPr>
              <w:spacing w:line="279" w:lineRule="exact"/>
              <w:ind w:left="221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3214" w:type="pct"/>
          </w:tcPr>
          <w:p w14:paraId="21D89967" w14:textId="77777777" w:rsidR="00EA4432" w:rsidRPr="004A5AFB" w:rsidRDefault="00EA4432" w:rsidP="00A816E2">
            <w:pPr>
              <w:spacing w:before="6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Non è in grado di analizzare e comprendere la realtà a partire dalla riflessione sulle proprie esperienze, o lo fa in modo inadeguato</w:t>
            </w:r>
          </w:p>
        </w:tc>
        <w:tc>
          <w:tcPr>
            <w:tcW w:w="319" w:type="pct"/>
          </w:tcPr>
          <w:p w14:paraId="0D81D738" w14:textId="77777777" w:rsidR="00EA4432" w:rsidRPr="00985D6F" w:rsidRDefault="005D710B" w:rsidP="00A816E2">
            <w:pPr>
              <w:spacing w:before="6" w:line="207" w:lineRule="exact"/>
              <w:ind w:left="245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00" w:type="pct"/>
            <w:vMerge w:val="restart"/>
          </w:tcPr>
          <w:p w14:paraId="492A3ECF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5B84F191" w14:textId="77777777" w:rsidTr="00A816E2">
        <w:trPr>
          <w:trHeight w:hRule="exact" w:val="227"/>
        </w:trPr>
        <w:tc>
          <w:tcPr>
            <w:tcW w:w="859" w:type="pct"/>
            <w:vMerge/>
          </w:tcPr>
          <w:p w14:paraId="602BAC43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067C6A39" w14:textId="77777777" w:rsidR="00EA4432" w:rsidRPr="004A5AFB" w:rsidRDefault="00EA4432" w:rsidP="00A816E2">
            <w:pPr>
              <w:spacing w:line="283" w:lineRule="exact"/>
              <w:ind w:left="194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  <w:vertAlign w:val="superscript"/>
              </w:rPr>
              <w:t>II</w:t>
            </w:r>
          </w:p>
        </w:tc>
        <w:tc>
          <w:tcPr>
            <w:tcW w:w="3214" w:type="pct"/>
          </w:tcPr>
          <w:p w14:paraId="6E03C50D" w14:textId="77777777" w:rsidR="00EA4432" w:rsidRPr="004A5AFB" w:rsidRDefault="00EA4432" w:rsidP="00A816E2">
            <w:pPr>
              <w:spacing w:before="7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È in grado di analizzare e comprendere la realtà a partire dalla riflessione sulle proprie esperienze con difficoltà e solo se guidato</w:t>
            </w:r>
          </w:p>
        </w:tc>
        <w:tc>
          <w:tcPr>
            <w:tcW w:w="319" w:type="pct"/>
          </w:tcPr>
          <w:p w14:paraId="21AB7458" w14:textId="77777777" w:rsidR="00EA4432" w:rsidRPr="00985D6F" w:rsidRDefault="005D710B" w:rsidP="00A816E2">
            <w:pPr>
              <w:spacing w:before="7" w:line="207" w:lineRule="exact"/>
              <w:ind w:left="245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0" w:type="pct"/>
            <w:vMerge/>
          </w:tcPr>
          <w:p w14:paraId="499B07BE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985D6F" w14:paraId="5079157D" w14:textId="77777777" w:rsidTr="00A816E2">
        <w:trPr>
          <w:trHeight w:hRule="exact" w:val="340"/>
        </w:trPr>
        <w:tc>
          <w:tcPr>
            <w:tcW w:w="859" w:type="pct"/>
            <w:vMerge/>
          </w:tcPr>
          <w:p w14:paraId="163436F2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6C2CB1A3" w14:textId="77777777" w:rsidR="00EA4432" w:rsidRPr="004A5AFB" w:rsidRDefault="00EA4432" w:rsidP="00A816E2">
            <w:pPr>
              <w:spacing w:before="16" w:line="414" w:lineRule="exact"/>
              <w:ind w:left="166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  <w:vertAlign w:val="superscript"/>
              </w:rPr>
              <w:t>III</w:t>
            </w:r>
          </w:p>
        </w:tc>
        <w:tc>
          <w:tcPr>
            <w:tcW w:w="3214" w:type="pct"/>
          </w:tcPr>
          <w:p w14:paraId="09A79E3F" w14:textId="77777777" w:rsidR="00EA4432" w:rsidRPr="004A5AFB" w:rsidRDefault="00EA4432" w:rsidP="00A816E2">
            <w:pPr>
              <w:spacing w:before="122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È in grado di compiere un’analisi adeguata della realtà sulla base di una corretta riflessione sulle proprie esperienze personali</w:t>
            </w:r>
          </w:p>
        </w:tc>
        <w:tc>
          <w:tcPr>
            <w:tcW w:w="319" w:type="pct"/>
          </w:tcPr>
          <w:p w14:paraId="7E6E9D3E" w14:textId="77777777" w:rsidR="00EA4432" w:rsidRPr="00985D6F" w:rsidRDefault="005D710B" w:rsidP="00A816E2">
            <w:pPr>
              <w:spacing w:before="64" w:line="207" w:lineRule="exact"/>
              <w:ind w:left="245"/>
              <w:rPr>
                <w:sz w:val="16"/>
                <w:szCs w:val="16"/>
              </w:rPr>
            </w:pPr>
            <w:r>
              <w:rPr>
                <w:rFonts w:ascii="Garamond" w:hAnsi="Garamond" w:cs="Garamond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400" w:type="pct"/>
            <w:vMerge/>
          </w:tcPr>
          <w:p w14:paraId="749342DD" w14:textId="77777777" w:rsidR="00EA4432" w:rsidRPr="00985D6F" w:rsidRDefault="00EA4432" w:rsidP="00A816E2">
            <w:pPr>
              <w:rPr>
                <w:sz w:val="16"/>
                <w:szCs w:val="16"/>
              </w:rPr>
            </w:pPr>
          </w:p>
        </w:tc>
      </w:tr>
      <w:tr w:rsidR="00EA4432" w:rsidRPr="004A5AFB" w14:paraId="4DA5392E" w14:textId="77777777" w:rsidTr="00A816E2">
        <w:trPr>
          <w:trHeight w:hRule="exact" w:val="230"/>
        </w:trPr>
        <w:tc>
          <w:tcPr>
            <w:tcW w:w="859" w:type="pct"/>
            <w:vMerge/>
          </w:tcPr>
          <w:p w14:paraId="503A4A54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67426443" w14:textId="77777777" w:rsidR="00EA4432" w:rsidRPr="004A5AFB" w:rsidRDefault="00EA4432" w:rsidP="00A816E2">
            <w:pPr>
              <w:spacing w:line="293" w:lineRule="exact"/>
              <w:ind w:left="168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  <w:vertAlign w:val="superscript"/>
              </w:rPr>
              <w:t>IV</w:t>
            </w:r>
          </w:p>
        </w:tc>
        <w:tc>
          <w:tcPr>
            <w:tcW w:w="3214" w:type="pct"/>
          </w:tcPr>
          <w:p w14:paraId="790D3FD2" w14:textId="77777777" w:rsidR="00EA4432" w:rsidRPr="004A5AFB" w:rsidRDefault="00EA4432" w:rsidP="00A816E2">
            <w:pPr>
              <w:spacing w:before="9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È in grado di compiere un’analisi precisa della realtà sulla base di una attenta riflessione sulle proprie esperienze personali</w:t>
            </w:r>
          </w:p>
        </w:tc>
        <w:tc>
          <w:tcPr>
            <w:tcW w:w="319" w:type="pct"/>
          </w:tcPr>
          <w:p w14:paraId="0C564132" w14:textId="77777777" w:rsidR="00EA4432" w:rsidRPr="004A5AFB" w:rsidRDefault="005D710B" w:rsidP="00A816E2">
            <w:pPr>
              <w:spacing w:before="9" w:line="207" w:lineRule="exact"/>
              <w:ind w:left="245"/>
              <w:rPr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0" w:type="pct"/>
            <w:vMerge/>
          </w:tcPr>
          <w:p w14:paraId="640FCFD6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</w:tr>
      <w:tr w:rsidR="00EA4432" w:rsidRPr="004A5AFB" w14:paraId="36FB8BA1" w14:textId="77777777" w:rsidTr="00A816E2">
        <w:trPr>
          <w:trHeight w:hRule="exact" w:val="1248"/>
        </w:trPr>
        <w:tc>
          <w:tcPr>
            <w:tcW w:w="859" w:type="pct"/>
            <w:vMerge/>
          </w:tcPr>
          <w:p w14:paraId="568F7DE4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</w:tcPr>
          <w:p w14:paraId="59DD680C" w14:textId="77777777" w:rsidR="00EA4432" w:rsidRPr="004A5AFB" w:rsidRDefault="00EA4432" w:rsidP="00A816E2">
            <w:pPr>
              <w:spacing w:before="111" w:line="184" w:lineRule="exact"/>
              <w:ind w:left="197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w w:val="97"/>
                <w:sz w:val="20"/>
                <w:szCs w:val="20"/>
              </w:rPr>
              <w:t>V</w:t>
            </w:r>
          </w:p>
        </w:tc>
        <w:tc>
          <w:tcPr>
            <w:tcW w:w="3214" w:type="pct"/>
          </w:tcPr>
          <w:p w14:paraId="1DED747F" w14:textId="77777777" w:rsidR="00EA4432" w:rsidRPr="004A5AFB" w:rsidRDefault="00EA4432" w:rsidP="00A816E2">
            <w:pPr>
              <w:spacing w:before="89" w:line="207" w:lineRule="exact"/>
              <w:ind w:left="29"/>
              <w:rPr>
                <w:sz w:val="20"/>
                <w:szCs w:val="20"/>
              </w:rPr>
            </w:pPr>
            <w:r w:rsidRPr="004A5AFB">
              <w:rPr>
                <w:rFonts w:ascii="Garamond" w:hAnsi="Garamond" w:cs="Garamond"/>
                <w:color w:val="000000"/>
                <w:sz w:val="20"/>
                <w:szCs w:val="20"/>
              </w:rPr>
              <w:t>È in grado di compiere un’analisi approfondita della realtà sulla base di una riflessione critica e consapevole sulle proprie esperienze personali</w:t>
            </w:r>
          </w:p>
        </w:tc>
        <w:tc>
          <w:tcPr>
            <w:tcW w:w="319" w:type="pct"/>
          </w:tcPr>
          <w:p w14:paraId="399AE156" w14:textId="77777777" w:rsidR="00EA4432" w:rsidRPr="004A5AFB" w:rsidRDefault="005D710B" w:rsidP="00A816E2">
            <w:pPr>
              <w:spacing w:before="89" w:line="207" w:lineRule="exact"/>
              <w:ind w:left="245"/>
              <w:rPr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2,5</w:t>
            </w:r>
            <w:bookmarkStart w:id="0" w:name="_GoBack"/>
            <w:bookmarkEnd w:id="0"/>
          </w:p>
        </w:tc>
        <w:tc>
          <w:tcPr>
            <w:tcW w:w="400" w:type="pct"/>
            <w:vMerge/>
          </w:tcPr>
          <w:p w14:paraId="05C378BD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</w:tr>
      <w:tr w:rsidR="00EA4432" w:rsidRPr="004A5AFB" w14:paraId="48DA485A" w14:textId="77777777" w:rsidTr="00A816E2">
        <w:trPr>
          <w:trHeight w:hRule="exact" w:val="460"/>
        </w:trPr>
        <w:tc>
          <w:tcPr>
            <w:tcW w:w="4600" w:type="pct"/>
            <w:gridSpan w:val="4"/>
          </w:tcPr>
          <w:p w14:paraId="6B287654" w14:textId="77777777" w:rsidR="00EA4432" w:rsidRPr="004A5AFB" w:rsidRDefault="00EA4432" w:rsidP="00A816E2">
            <w:pPr>
              <w:spacing w:before="98" w:line="253" w:lineRule="exact"/>
              <w:ind w:left="5468"/>
              <w:rPr>
                <w:sz w:val="20"/>
                <w:szCs w:val="20"/>
              </w:rPr>
            </w:pPr>
            <w:r w:rsidRPr="004A5AFB">
              <w:rPr>
                <w:rFonts w:ascii="Garamond Bold" w:hAnsi="Garamond Bold" w:cs="Garamond Bold"/>
                <w:color w:val="000000"/>
                <w:sz w:val="20"/>
                <w:szCs w:val="20"/>
              </w:rPr>
              <w:t>Punteggio totale della prova</w:t>
            </w:r>
          </w:p>
        </w:tc>
        <w:tc>
          <w:tcPr>
            <w:tcW w:w="400" w:type="pct"/>
          </w:tcPr>
          <w:p w14:paraId="0A50625D" w14:textId="77777777" w:rsidR="00EA4432" w:rsidRPr="004A5AFB" w:rsidRDefault="00EA4432" w:rsidP="00A816E2">
            <w:pPr>
              <w:rPr>
                <w:sz w:val="20"/>
                <w:szCs w:val="20"/>
              </w:rPr>
            </w:pPr>
          </w:p>
        </w:tc>
      </w:tr>
    </w:tbl>
    <w:p w14:paraId="791671DE" w14:textId="77777777" w:rsidR="00B67ED2" w:rsidRDefault="00B67ED2"/>
    <w:sectPr w:rsidR="00B67ED2" w:rsidSect="00C9056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aramond Bold">
    <w:altName w:val="Garamond"/>
    <w:charset w:val="00"/>
    <w:family w:val="auto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432"/>
    <w:rsid w:val="005D710B"/>
    <w:rsid w:val="00866F62"/>
    <w:rsid w:val="00985D6F"/>
    <w:rsid w:val="00A74520"/>
    <w:rsid w:val="00B67ED2"/>
    <w:rsid w:val="00C90560"/>
    <w:rsid w:val="00EA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0C337"/>
  <w15:chartTrackingRefBased/>
  <w15:docId w15:val="{76379F15-B848-974B-A62D-AFF2A1309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EA443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626</Words>
  <Characters>3571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2020-05-25T08:13:00Z</dcterms:created>
  <dcterms:modified xsi:type="dcterms:W3CDTF">2023-02-28T10:11:00Z</dcterms:modified>
</cp:coreProperties>
</file>